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B73721" w:rsidRPr="00B73721">
        <w:rPr>
          <w:rFonts w:ascii="Arial" w:hAnsi="Arial" w:cs="Arial"/>
          <w:b/>
          <w:sz w:val="28"/>
        </w:rPr>
        <w:t>ferinflu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B73721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ferinflu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B7372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B7372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Economic influence of ferry ports</w:t>
            </w: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B7372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B7372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Economic influence of ferry ports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according to port activity and distance.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2016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B73721" w:rsidP="00B73721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bookmarkStart w:id="0" w:name="_GoBack"/>
            <w:r>
              <w:rPr>
                <w:rFonts w:ascii="Arial" w:hAnsi="Arial" w:cs="Arial"/>
                <w:sz w:val="18"/>
                <w:szCs w:val="18"/>
                <w:lang w:val="en-GB"/>
              </w:rPr>
              <w:t>B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ased on the same methodology developed for </w:t>
            </w:r>
            <w:proofErr w:type="spell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ESaTDOR</w:t>
            </w:r>
            <w:proofErr w:type="spell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Project (ESPON, 2013).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The influence of a port onto a sea based grid cell is assumed to increase with the size of the port and to decline with the </w:t>
            </w:r>
            <w:proofErr w:type="gram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distance which</w:t>
            </w:r>
            <w:proofErr w:type="gram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separates them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Port influence is calculated using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exponential decay factor with a maximum reach of 100km.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The total influence of the activity is the sum of the influences of all ports within reach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bookmarkEnd w:id="0"/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B3A09"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B73721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85779"/>
    <w:rsid w:val="006D16DA"/>
    <w:rsid w:val="006D2894"/>
    <w:rsid w:val="00712E59"/>
    <w:rsid w:val="00900FF0"/>
    <w:rsid w:val="00B73721"/>
    <w:rsid w:val="00BD2994"/>
    <w:rsid w:val="00CD2A31"/>
    <w:rsid w:val="00DF134B"/>
    <w:rsid w:val="00EB3A09"/>
    <w:rsid w:val="00EB5E01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D080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2020-02-03T08:42:00Z</dcterms:modified>
</cp:coreProperties>
</file>