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C4667D">
        <w:rPr>
          <w:rFonts w:ascii="Arial" w:hAnsi="Arial" w:cs="Arial"/>
          <w:b/>
          <w:sz w:val="28"/>
        </w:rPr>
        <w:t>int_lane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C4667D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Int_lane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C4667D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C4667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Intensity of marine use: shipping lanes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C4667D" w:rsidP="00C46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</w:t>
            </w:r>
            <w:r w:rsidRPr="00C4667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 estimate of 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maritime traffic (number of vessels per grid cell)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C4667D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2013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C4667D" w:rsidP="00C4667D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4667D">
              <w:rPr>
                <w:rFonts w:ascii="Arial" w:hAnsi="Arial" w:cs="Arial"/>
                <w:sz w:val="18"/>
                <w:szCs w:val="18"/>
                <w:lang w:val="en-GB"/>
              </w:rPr>
              <w:t xml:space="preserve">Transport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intensity</w:t>
            </w:r>
            <w:r w:rsidRPr="00C4667D">
              <w:rPr>
                <w:rFonts w:ascii="Arial" w:hAnsi="Arial" w:cs="Arial"/>
                <w:sz w:val="18"/>
                <w:szCs w:val="18"/>
                <w:lang w:val="en-GB"/>
              </w:rPr>
              <w:t xml:space="preserve"> layer </w:t>
            </w:r>
            <w:proofErr w:type="gramStart"/>
            <w:r w:rsidRPr="00C4667D">
              <w:rPr>
                <w:rFonts w:ascii="Arial" w:hAnsi="Arial" w:cs="Arial"/>
                <w:sz w:val="18"/>
                <w:szCs w:val="18"/>
                <w:lang w:val="en-GB"/>
              </w:rPr>
              <w:t>is based</w:t>
            </w:r>
            <w:proofErr w:type="gramEnd"/>
            <w:r w:rsidRPr="00C4667D">
              <w:rPr>
                <w:rFonts w:ascii="Arial" w:hAnsi="Arial" w:cs="Arial"/>
                <w:sz w:val="18"/>
                <w:szCs w:val="18"/>
                <w:lang w:val="en-GB"/>
              </w:rPr>
              <w:t xml:space="preserve"> on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AIS</w:t>
            </w:r>
            <w:r w:rsidRPr="00C4667D">
              <w:rPr>
                <w:rFonts w:ascii="Arial" w:hAnsi="Arial" w:cs="Arial"/>
                <w:sz w:val="18"/>
                <w:szCs w:val="18"/>
                <w:lang w:val="en-GB"/>
              </w:rPr>
              <w:t xml:space="preserve"> maritime traffic data compiled by the NCEAS. It provide an estimate of the occurrence of ships at a particular location, and therefore an estimate of the amount of pollution they produce (via fuel leaks, oil discharge, waste disposal, etc.), under the assumption that traveling ships primarily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affect their immediate waters.</w:t>
            </w:r>
          </w:p>
        </w:tc>
        <w:bookmarkStart w:id="0" w:name="_GoBack"/>
        <w:bookmarkEnd w:id="0"/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C4667D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C4667D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="00C4667D"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="00C4667D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 w:rsidR="00C4667D"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C4667D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D2994"/>
    <w:rsid w:val="00C4667D"/>
    <w:rsid w:val="00CD2A31"/>
    <w:rsid w:val="00DF134B"/>
    <w:rsid w:val="00EB3A09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F514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2020-02-03T09:07:00Z</dcterms:modified>
</cp:coreProperties>
</file>